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5D" w:rsidRDefault="0039355D" w:rsidP="0039355D">
      <w:pPr>
        <w:pStyle w:val="20"/>
        <w:spacing w:after="0" w:line="240" w:lineRule="auto"/>
        <w:contextualSpacing/>
        <w:jc w:val="both"/>
        <w:rPr>
          <w:b w:val="0"/>
          <w:spacing w:val="0"/>
          <w:sz w:val="28"/>
          <w:szCs w:val="28"/>
        </w:rPr>
      </w:pPr>
      <w:r w:rsidRPr="00CE7A3F">
        <w:rPr>
          <w:b w:val="0"/>
          <w:spacing w:val="0"/>
          <w:sz w:val="28"/>
          <w:szCs w:val="28"/>
        </w:rPr>
        <w:t xml:space="preserve">Анализ состояния безопасности движения на железнодорожном транспорте общего пользования </w:t>
      </w:r>
      <w:r>
        <w:rPr>
          <w:b w:val="0"/>
          <w:spacing w:val="0"/>
          <w:sz w:val="28"/>
          <w:szCs w:val="28"/>
        </w:rPr>
        <w:t>в разрезе железных дорог</w:t>
      </w:r>
      <w:r w:rsidRPr="00CE7A3F">
        <w:rPr>
          <w:b w:val="0"/>
          <w:spacing w:val="0"/>
          <w:sz w:val="28"/>
          <w:szCs w:val="28"/>
        </w:rPr>
        <w:t xml:space="preserve"> за </w:t>
      </w:r>
      <w:r>
        <w:rPr>
          <w:b w:val="0"/>
          <w:spacing w:val="0"/>
          <w:sz w:val="28"/>
          <w:szCs w:val="28"/>
        </w:rPr>
        <w:t>февраль 2024 года</w:t>
      </w:r>
    </w:p>
    <w:p w:rsidR="0039355D" w:rsidRDefault="0039355D" w:rsidP="0039355D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39355D" w:rsidRDefault="0039355D" w:rsidP="0039355D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39355D" w:rsidRPr="004E3BFB" w:rsidRDefault="0039355D" w:rsidP="0039355D">
      <w:pPr>
        <w:pStyle w:val="20"/>
        <w:spacing w:after="0" w:line="276" w:lineRule="auto"/>
        <w:contextualSpacing/>
        <w:jc w:val="both"/>
        <w:rPr>
          <w:b w:val="0"/>
          <w:spacing w:val="0"/>
          <w:sz w:val="28"/>
          <w:szCs w:val="28"/>
        </w:rPr>
      </w:pPr>
      <w:r w:rsidRPr="004E3BFB">
        <w:rPr>
          <w:b w:val="0"/>
          <w:spacing w:val="0"/>
          <w:sz w:val="28"/>
          <w:szCs w:val="28"/>
        </w:rPr>
        <w:t xml:space="preserve">В </w:t>
      </w:r>
      <w:r>
        <w:rPr>
          <w:b w:val="0"/>
          <w:spacing w:val="0"/>
          <w:sz w:val="28"/>
          <w:szCs w:val="28"/>
        </w:rPr>
        <w:t xml:space="preserve">соответствие с п. 2 раздела </w:t>
      </w:r>
      <w:r>
        <w:rPr>
          <w:b w:val="0"/>
          <w:spacing w:val="0"/>
          <w:sz w:val="28"/>
          <w:szCs w:val="28"/>
          <w:lang w:val="en-US"/>
        </w:rPr>
        <w:t>I</w:t>
      </w:r>
      <w:r>
        <w:rPr>
          <w:b w:val="0"/>
          <w:spacing w:val="0"/>
          <w:sz w:val="28"/>
          <w:szCs w:val="28"/>
        </w:rPr>
        <w:t>V</w:t>
      </w:r>
      <w:r w:rsidRPr="004E3BFB">
        <w:rPr>
          <w:b w:val="0"/>
          <w:spacing w:val="0"/>
          <w:sz w:val="28"/>
          <w:szCs w:val="28"/>
        </w:rPr>
        <w:t xml:space="preserve"> Протокола совещания № </w:t>
      </w:r>
      <w:r w:rsidRPr="00A460E0">
        <w:rPr>
          <w:b w:val="0"/>
          <w:spacing w:val="0"/>
          <w:sz w:val="28"/>
          <w:szCs w:val="28"/>
        </w:rPr>
        <w:t>12</w:t>
      </w:r>
      <w:r w:rsidRPr="004E3BFB">
        <w:rPr>
          <w:b w:val="0"/>
          <w:spacing w:val="0"/>
          <w:sz w:val="28"/>
          <w:szCs w:val="28"/>
        </w:rPr>
        <w:t xml:space="preserve"> от </w:t>
      </w:r>
      <w:r w:rsidRPr="00A460E0">
        <w:rPr>
          <w:b w:val="0"/>
          <w:spacing w:val="0"/>
          <w:sz w:val="28"/>
          <w:szCs w:val="28"/>
        </w:rPr>
        <w:t>15</w:t>
      </w:r>
      <w:r w:rsidRPr="004E3BFB">
        <w:rPr>
          <w:b w:val="0"/>
          <w:spacing w:val="0"/>
          <w:sz w:val="28"/>
          <w:szCs w:val="28"/>
        </w:rPr>
        <w:t xml:space="preserve"> </w:t>
      </w:r>
      <w:r>
        <w:rPr>
          <w:b w:val="0"/>
          <w:spacing w:val="0"/>
          <w:sz w:val="28"/>
          <w:szCs w:val="28"/>
        </w:rPr>
        <w:t>ноября</w:t>
      </w:r>
      <w:r w:rsidRPr="004E3BFB">
        <w:rPr>
          <w:b w:val="0"/>
          <w:spacing w:val="0"/>
          <w:sz w:val="28"/>
          <w:szCs w:val="28"/>
        </w:rPr>
        <w:t xml:space="preserve"> 2023 года, в МТУ </w:t>
      </w:r>
      <w:proofErr w:type="spellStart"/>
      <w:r w:rsidRPr="004E3BFB">
        <w:rPr>
          <w:b w:val="0"/>
          <w:spacing w:val="0"/>
          <w:sz w:val="28"/>
          <w:szCs w:val="28"/>
        </w:rPr>
        <w:t>Ространснадзора</w:t>
      </w:r>
      <w:proofErr w:type="spellEnd"/>
      <w:r w:rsidRPr="004E3BFB">
        <w:rPr>
          <w:b w:val="0"/>
          <w:spacing w:val="0"/>
          <w:sz w:val="28"/>
          <w:szCs w:val="28"/>
        </w:rPr>
        <w:t xml:space="preserve"> по СФО проведен анализ причин сходов железнодорожного подвижного состава </w:t>
      </w:r>
      <w:r>
        <w:rPr>
          <w:b w:val="0"/>
          <w:spacing w:val="0"/>
          <w:sz w:val="28"/>
          <w:szCs w:val="28"/>
        </w:rPr>
        <w:t xml:space="preserve">в разрезе железных дорог </w:t>
      </w:r>
      <w:r w:rsidRPr="004E3BFB">
        <w:rPr>
          <w:b w:val="0"/>
          <w:spacing w:val="0"/>
          <w:sz w:val="28"/>
          <w:szCs w:val="28"/>
        </w:rPr>
        <w:t xml:space="preserve">за </w:t>
      </w:r>
      <w:r>
        <w:rPr>
          <w:b w:val="0"/>
          <w:spacing w:val="0"/>
          <w:sz w:val="28"/>
          <w:szCs w:val="28"/>
        </w:rPr>
        <w:t>февраль 2024</w:t>
      </w:r>
      <w:r w:rsidRPr="004E3BFB">
        <w:rPr>
          <w:b w:val="0"/>
          <w:spacing w:val="0"/>
          <w:sz w:val="28"/>
          <w:szCs w:val="28"/>
        </w:rPr>
        <w:t xml:space="preserve"> года.</w:t>
      </w:r>
    </w:p>
    <w:p w:rsidR="0039355D" w:rsidRDefault="0039355D" w:rsidP="003935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55D" w:rsidRDefault="0039355D" w:rsidP="003935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A27">
        <w:rPr>
          <w:rFonts w:ascii="Times New Roman" w:hAnsi="Times New Roman" w:cs="Times New Roman"/>
          <w:sz w:val="28"/>
          <w:szCs w:val="28"/>
        </w:rPr>
        <w:t>В указанный период</w:t>
      </w:r>
      <w:r>
        <w:rPr>
          <w:rFonts w:ascii="Times New Roman" w:hAnsi="Times New Roman" w:cs="Times New Roman"/>
          <w:sz w:val="28"/>
          <w:szCs w:val="28"/>
        </w:rPr>
        <w:t xml:space="preserve"> на поднадзорных</w:t>
      </w:r>
      <w:r w:rsidRPr="00453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СФО</w:t>
      </w:r>
      <w:r w:rsidRPr="00697A27">
        <w:rPr>
          <w:rFonts w:ascii="Times New Roman" w:hAnsi="Times New Roman" w:cs="Times New Roman"/>
          <w:sz w:val="28"/>
          <w:szCs w:val="28"/>
        </w:rPr>
        <w:t xml:space="preserve"> железнодорожных путя</w:t>
      </w:r>
      <w:r>
        <w:rPr>
          <w:rFonts w:ascii="Times New Roman" w:hAnsi="Times New Roman" w:cs="Times New Roman"/>
          <w:sz w:val="28"/>
          <w:szCs w:val="28"/>
        </w:rPr>
        <w:t xml:space="preserve">х общего пользования допущено 5 сходов </w:t>
      </w:r>
      <w:r w:rsidRPr="00697A27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подвижного состава, из них 2</w:t>
      </w:r>
      <w:r w:rsidRPr="00BC7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транспортных события</w:t>
      </w:r>
      <w:r w:rsidRPr="00BC76E9">
        <w:rPr>
          <w:rFonts w:ascii="Times New Roman" w:hAnsi="Times New Roman" w:cs="Times New Roman"/>
          <w:sz w:val="28"/>
          <w:szCs w:val="28"/>
        </w:rPr>
        <w:t xml:space="preserve"> произошл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76E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C76E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падно-Сибирской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3 –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Восточно-Сибирской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железной дороге.</w:t>
      </w:r>
    </w:p>
    <w:p w:rsidR="0039355D" w:rsidRDefault="0039355D" w:rsidP="0039355D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39355D" w:rsidRDefault="0039355D" w:rsidP="0039355D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  <w:r w:rsidRPr="0039355D">
        <w:rPr>
          <w:spacing w:val="0"/>
          <w:sz w:val="28"/>
          <w:szCs w:val="28"/>
        </w:rPr>
        <w:drawing>
          <wp:inline distT="0" distB="0" distL="0" distR="0">
            <wp:extent cx="5938284" cy="3811712"/>
            <wp:effectExtent l="19050" t="0" r="24366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9355D" w:rsidRDefault="0039355D" w:rsidP="0039355D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39355D" w:rsidRDefault="0039355D" w:rsidP="0039355D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39355D" w:rsidRDefault="0039355D" w:rsidP="0039355D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39355D" w:rsidRDefault="0039355D" w:rsidP="0039355D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39355D" w:rsidRDefault="0039355D" w:rsidP="0039355D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39355D" w:rsidRDefault="0039355D" w:rsidP="0039355D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39355D" w:rsidRDefault="0039355D" w:rsidP="0039355D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39355D" w:rsidRDefault="0039355D" w:rsidP="0039355D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39355D" w:rsidRDefault="0039355D" w:rsidP="0039355D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39355D" w:rsidRDefault="0039355D" w:rsidP="0039355D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39355D" w:rsidRDefault="0039355D" w:rsidP="0039355D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39355D" w:rsidRDefault="0039355D" w:rsidP="003935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099">
        <w:rPr>
          <w:rFonts w:ascii="Times New Roman" w:hAnsi="Times New Roman" w:cs="Times New Roman"/>
          <w:sz w:val="28"/>
          <w:szCs w:val="28"/>
        </w:rPr>
        <w:t>В результате анализа</w:t>
      </w:r>
      <w:bookmarkStart w:id="0" w:name="_Hlk31203514"/>
      <w:r>
        <w:rPr>
          <w:rFonts w:ascii="Times New Roman" w:hAnsi="Times New Roman" w:cs="Times New Roman"/>
          <w:sz w:val="28"/>
          <w:szCs w:val="28"/>
        </w:rPr>
        <w:t xml:space="preserve"> сходов железнодорожного подвижного состава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на путях общего 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Западно-Сибирской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железной дороги </w:t>
      </w:r>
      <w:r w:rsidRPr="00453099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39355D" w:rsidRDefault="0039355D" w:rsidP="0039355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0803E8">
        <w:rPr>
          <w:rFonts w:ascii="Times New Roman" w:hAnsi="Times New Roman" w:cs="Times New Roman"/>
          <w:sz w:val="28"/>
          <w:szCs w:val="28"/>
        </w:rPr>
        <w:t>событи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03E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50 </w:t>
      </w:r>
      <w:r w:rsidRPr="000803E8">
        <w:rPr>
          <w:rFonts w:ascii="Times New Roman" w:hAnsi="Times New Roman" w:cs="Times New Roman"/>
          <w:sz w:val="28"/>
          <w:szCs w:val="28"/>
        </w:rPr>
        <w:t xml:space="preserve">% от общего числа </w:t>
      </w:r>
      <w:r>
        <w:rPr>
          <w:rFonts w:ascii="Times New Roman" w:hAnsi="Times New Roman" w:cs="Times New Roman"/>
          <w:sz w:val="28"/>
          <w:szCs w:val="28"/>
        </w:rPr>
        <w:t xml:space="preserve">сходов на путях общего 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Западно-Сибирской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железной дороги) произошло</w:t>
      </w:r>
      <w:r w:rsidRPr="000803E8">
        <w:rPr>
          <w:rFonts w:ascii="Times New Roman" w:hAnsi="Times New Roman" w:cs="Times New Roman"/>
          <w:sz w:val="28"/>
          <w:szCs w:val="28"/>
        </w:rPr>
        <w:t xml:space="preserve"> по причине нарушения правил организации маневровой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55D" w:rsidRDefault="0039355D" w:rsidP="0039355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событие </w:t>
      </w:r>
      <w:r w:rsidRPr="000803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50 </w:t>
      </w:r>
      <w:r w:rsidRPr="000803E8">
        <w:rPr>
          <w:rFonts w:ascii="Times New Roman" w:hAnsi="Times New Roman" w:cs="Times New Roman"/>
          <w:sz w:val="28"/>
          <w:szCs w:val="28"/>
        </w:rPr>
        <w:t xml:space="preserve">% от общего числа </w:t>
      </w:r>
      <w:r>
        <w:rPr>
          <w:rFonts w:ascii="Times New Roman" w:hAnsi="Times New Roman" w:cs="Times New Roman"/>
          <w:sz w:val="28"/>
          <w:szCs w:val="28"/>
        </w:rPr>
        <w:t xml:space="preserve">сходов на путях общего 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Западно-Сибирской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железной дороги) произошло</w:t>
      </w:r>
      <w:r w:rsidRPr="000803E8">
        <w:rPr>
          <w:rFonts w:ascii="Times New Roman" w:hAnsi="Times New Roman" w:cs="Times New Roman"/>
          <w:sz w:val="28"/>
          <w:szCs w:val="28"/>
        </w:rPr>
        <w:t xml:space="preserve"> по причине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E8">
        <w:rPr>
          <w:rFonts w:ascii="Times New Roman" w:hAnsi="Times New Roman" w:cs="Times New Roman"/>
          <w:sz w:val="28"/>
          <w:szCs w:val="28"/>
        </w:rPr>
        <w:t>неудовлетворите</w:t>
      </w:r>
      <w:r>
        <w:rPr>
          <w:rFonts w:ascii="Times New Roman" w:hAnsi="Times New Roman" w:cs="Times New Roman"/>
          <w:sz w:val="28"/>
          <w:szCs w:val="28"/>
        </w:rPr>
        <w:t>льного текущего содержания пути.</w:t>
      </w:r>
    </w:p>
    <w:p w:rsidR="0039355D" w:rsidRDefault="0039355D" w:rsidP="0039355D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39355D" w:rsidRDefault="0039355D" w:rsidP="0039355D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  <w:r w:rsidRPr="0039355D">
        <w:rPr>
          <w:spacing w:val="0"/>
          <w:sz w:val="28"/>
          <w:szCs w:val="28"/>
        </w:rPr>
        <w:drawing>
          <wp:inline distT="0" distB="0" distL="0" distR="0">
            <wp:extent cx="5940425" cy="4203394"/>
            <wp:effectExtent l="19050" t="0" r="22225" b="6656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9355D" w:rsidRDefault="0039355D" w:rsidP="0039355D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39355D" w:rsidRDefault="0039355D" w:rsidP="0039355D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39355D" w:rsidRDefault="0039355D" w:rsidP="0039355D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39355D" w:rsidRDefault="0039355D" w:rsidP="0039355D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39355D" w:rsidRDefault="0039355D" w:rsidP="0039355D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39355D" w:rsidRDefault="0039355D" w:rsidP="0039355D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39355D" w:rsidRDefault="0039355D" w:rsidP="0039355D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39355D" w:rsidRDefault="0039355D" w:rsidP="0039355D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39355D" w:rsidRDefault="0039355D" w:rsidP="0039355D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39355D" w:rsidRDefault="0039355D" w:rsidP="0039355D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39355D" w:rsidRDefault="0039355D" w:rsidP="0039355D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39355D" w:rsidRDefault="0039355D" w:rsidP="0039355D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39355D" w:rsidRPr="00CD5901" w:rsidRDefault="0039355D" w:rsidP="003935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причинами сходов железнодорожного подвижного состава на путях общего 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Восточно-Сибирской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железной дороги </w:t>
      </w:r>
      <w:r w:rsidRPr="00453099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39355D" w:rsidRDefault="0039355D" w:rsidP="0039355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события </w:t>
      </w:r>
      <w:r w:rsidRPr="000803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67 </w:t>
      </w:r>
      <w:r w:rsidRPr="000803E8">
        <w:rPr>
          <w:rFonts w:ascii="Times New Roman" w:hAnsi="Times New Roman" w:cs="Times New Roman"/>
          <w:sz w:val="28"/>
          <w:szCs w:val="28"/>
        </w:rPr>
        <w:t xml:space="preserve">% от общего числа </w:t>
      </w:r>
      <w:r>
        <w:rPr>
          <w:rFonts w:ascii="Times New Roman" w:hAnsi="Times New Roman" w:cs="Times New Roman"/>
          <w:sz w:val="28"/>
          <w:szCs w:val="28"/>
        </w:rPr>
        <w:t xml:space="preserve">сходов на путях общего 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Восточно-Сибирской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железной дороги) произошли</w:t>
      </w:r>
      <w:r w:rsidRPr="000803E8">
        <w:rPr>
          <w:rFonts w:ascii="Times New Roman" w:hAnsi="Times New Roman" w:cs="Times New Roman"/>
          <w:sz w:val="28"/>
          <w:szCs w:val="28"/>
        </w:rPr>
        <w:t xml:space="preserve"> по причине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E8">
        <w:rPr>
          <w:rFonts w:ascii="Times New Roman" w:hAnsi="Times New Roman" w:cs="Times New Roman"/>
          <w:sz w:val="28"/>
          <w:szCs w:val="28"/>
        </w:rPr>
        <w:t>нарушения правил организации маневровой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355D" w:rsidRDefault="0039355D" w:rsidP="0039355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0803E8">
        <w:rPr>
          <w:rFonts w:ascii="Times New Roman" w:hAnsi="Times New Roman" w:cs="Times New Roman"/>
          <w:sz w:val="28"/>
          <w:szCs w:val="28"/>
        </w:rPr>
        <w:t>событи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03E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33 </w:t>
      </w:r>
      <w:r w:rsidRPr="000803E8">
        <w:rPr>
          <w:rFonts w:ascii="Times New Roman" w:hAnsi="Times New Roman" w:cs="Times New Roman"/>
          <w:sz w:val="28"/>
          <w:szCs w:val="28"/>
        </w:rPr>
        <w:t xml:space="preserve">% от общего числа </w:t>
      </w:r>
      <w:r>
        <w:rPr>
          <w:rFonts w:ascii="Times New Roman" w:hAnsi="Times New Roman" w:cs="Times New Roman"/>
          <w:sz w:val="28"/>
          <w:szCs w:val="28"/>
        </w:rPr>
        <w:t xml:space="preserve">сходов на путях общего 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Восточно-Сибирской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железной дороги) произошло</w:t>
      </w:r>
      <w:r w:rsidRPr="000803E8">
        <w:rPr>
          <w:rFonts w:ascii="Times New Roman" w:hAnsi="Times New Roman" w:cs="Times New Roman"/>
          <w:sz w:val="28"/>
          <w:szCs w:val="28"/>
        </w:rPr>
        <w:t xml:space="preserve"> по причине</w:t>
      </w:r>
      <w:r>
        <w:rPr>
          <w:rFonts w:ascii="Times New Roman" w:hAnsi="Times New Roman" w:cs="Times New Roman"/>
          <w:sz w:val="28"/>
          <w:szCs w:val="28"/>
        </w:rPr>
        <w:t xml:space="preserve">  нарушения</w:t>
      </w:r>
      <w:r w:rsidRPr="000B4DEC">
        <w:rPr>
          <w:rFonts w:ascii="Times New Roman" w:hAnsi="Times New Roman" w:cs="Times New Roman"/>
          <w:sz w:val="28"/>
          <w:szCs w:val="28"/>
        </w:rPr>
        <w:t xml:space="preserve"> технологии ремонта подвижного состава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355D" w:rsidRDefault="0039355D" w:rsidP="0039355D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39355D" w:rsidRDefault="0039355D" w:rsidP="0039355D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39355D" w:rsidRDefault="0039355D" w:rsidP="0039355D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39355D" w:rsidRDefault="0039355D" w:rsidP="0039355D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39355D" w:rsidRDefault="0039355D" w:rsidP="0039355D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39355D" w:rsidRDefault="0039355D" w:rsidP="0039355D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39355D" w:rsidRDefault="0039355D" w:rsidP="0039355D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39355D" w:rsidRDefault="0039355D" w:rsidP="0039355D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39355D" w:rsidRDefault="0039355D" w:rsidP="0039355D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39355D" w:rsidRDefault="0039355D" w:rsidP="0039355D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39355D" w:rsidRDefault="0039355D" w:rsidP="0039355D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39355D" w:rsidRDefault="0039355D" w:rsidP="0039355D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39355D" w:rsidRDefault="0039355D" w:rsidP="0039355D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392685" w:rsidRDefault="0039355D">
      <w:r w:rsidRPr="0039355D">
        <w:drawing>
          <wp:inline distT="0" distB="0" distL="0" distR="0">
            <wp:extent cx="5940425" cy="4203395"/>
            <wp:effectExtent l="19050" t="0" r="22225" b="6655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392685" w:rsidSect="0039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11E3C"/>
    <w:multiLevelType w:val="hybridMultilevel"/>
    <w:tmpl w:val="5F7EC0D6"/>
    <w:lvl w:ilvl="0" w:tplc="AFF84D42">
      <w:start w:val="1"/>
      <w:numFmt w:val="bullet"/>
      <w:suff w:val="space"/>
      <w:lvlText w:val=""/>
      <w:lvlJc w:val="left"/>
      <w:pPr>
        <w:ind w:left="567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9355D"/>
    <w:rsid w:val="00392685"/>
    <w:rsid w:val="0039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9355D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355D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paragraph" w:styleId="a3">
    <w:name w:val="Balloon Text"/>
    <w:basedOn w:val="a"/>
    <w:link w:val="a4"/>
    <w:uiPriority w:val="99"/>
    <w:semiHidden/>
    <w:unhideWhenUsed/>
    <w:rsid w:val="0039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5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355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amanyikMS.SUGZDN\Desktop\&#1040;&#1085;&#1072;&#1083;&#1080;&#1079;\&#1055;&#1086;%20&#1084;&#1077;&#1089;&#1103;&#1095;&#1085;&#1086;&#1084;&#1091;%20&#1080;%20&#1082;&#1074;&#1072;&#1088;&#1090;&#1072;&#1083;&#1100;&#1085;&#1086;&#1084;&#1091;%20&#1072;&#1085;&#1072;&#1083;&#1080;&#1079;&#109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amanyikMS.SUGZDN\Desktop\&#1040;&#1085;&#1072;&#1083;&#1080;&#1079;\&#1055;&#1086;%20&#1084;&#1077;&#1089;&#1103;&#1095;&#1085;&#1086;&#1084;&#1091;%20&#1080;%20&#1082;&#1074;&#1072;&#1088;&#1090;&#1072;&#1083;&#1100;&#1085;&#1086;&#1084;&#1091;%20&#1072;&#1085;&#1072;&#1083;&#1080;&#1079;&#109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amanyikMS.SUGZDN\Desktop\&#1040;&#1085;&#1072;&#1083;&#1080;&#1079;\&#1055;&#1086;%20&#1084;&#1077;&#1089;&#1103;&#1095;&#1085;&#1086;&#1084;&#1091;%20&#1080;%20&#1082;&#1074;&#1072;&#1088;&#1090;&#1072;&#1083;&#1100;&#1085;&#1086;&#1084;&#1091;%20&#1072;&#1085;&#1072;&#1083;&#1080;&#1079;&#109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1" i="0" baseline="0"/>
              <a:t>Сходы по дорогам на путях общего пользования за февраль 2024 года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cat>
            <c:strRef>
              <c:f>Лист1!$D$134:$D$136</c:f>
              <c:strCache>
                <c:ptCount val="3"/>
                <c:pt idx="0">
                  <c:v>Западно-Сибирская железная дорога</c:v>
                </c:pt>
                <c:pt idx="1">
                  <c:v>Красноярская железная дорога</c:v>
                </c:pt>
                <c:pt idx="2">
                  <c:v>Восточно-Сибирская железная дорога</c:v>
                </c:pt>
              </c:strCache>
            </c:strRef>
          </c:cat>
          <c:val>
            <c:numRef>
              <c:f>Лист1!$C$134:$C$136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</c:ser>
        <c:axId val="143654272"/>
        <c:axId val="145439744"/>
      </c:barChart>
      <c:catAx>
        <c:axId val="143654272"/>
        <c:scaling>
          <c:orientation val="minMax"/>
        </c:scaling>
        <c:axPos val="b"/>
        <c:tickLblPos val="nextTo"/>
        <c:crossAx val="145439744"/>
        <c:crosses val="autoZero"/>
        <c:auto val="1"/>
        <c:lblAlgn val="ctr"/>
        <c:lblOffset val="100"/>
      </c:catAx>
      <c:valAx>
        <c:axId val="145439744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143654272"/>
        <c:crosses val="autoZero"/>
        <c:crossBetween val="between"/>
        <c:majorUnit val="1"/>
        <c:minorUnit val="1"/>
      </c:valAx>
    </c:plotArea>
    <c:plotVisOnly val="1"/>
  </c:chart>
  <c:txPr>
    <a:bodyPr/>
    <a:lstStyle/>
    <a:p>
      <a:pPr>
        <a:defRPr sz="1200" baseline="0">
          <a:latin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1" i="0" baseline="0"/>
              <a:t>Причины сходов железнодорожного подвижного состава, допущенных на путях общего пользования Западно-Сибирской железной дороги за февраль 2024 года</a:t>
            </a:r>
            <a:endParaRPr lang="ru-RU" sz="1400"/>
          </a:p>
        </c:rich>
      </c:tx>
      <c:layout/>
    </c:title>
    <c:plotArea>
      <c:layout>
        <c:manualLayout>
          <c:layoutTarget val="inner"/>
          <c:xMode val="edge"/>
          <c:yMode val="edge"/>
          <c:x val="0.13161355708459238"/>
          <c:y val="0.31152179252298245"/>
          <c:w val="0.36962549705559117"/>
          <c:h val="0.56200387039419153"/>
        </c:manualLayout>
      </c:layout>
      <c:pieChart>
        <c:varyColors val="1"/>
        <c:ser>
          <c:idx val="1"/>
          <c:order val="0"/>
          <c:dPt>
            <c:idx val="0"/>
            <c:explosion val="11"/>
          </c:dPt>
          <c:dLbls>
            <c:dLbl>
              <c:idx val="0"/>
              <c:layout>
                <c:manualLayout>
                  <c:x val="3.980761754240987E-2"/>
                  <c:y val="3.797344319275565E-3"/>
                </c:manualLayout>
              </c:layout>
              <c:showVal val="1"/>
            </c:dLbl>
            <c:dLbl>
              <c:idx val="1"/>
              <c:layout>
                <c:manualLayout>
                  <c:x val="-1.1676656574108718E-2"/>
                  <c:y val="-2.8634857903207606E-2"/>
                </c:manualLayout>
              </c:layout>
              <c:showVal val="1"/>
            </c:dLbl>
            <c:showVal val="1"/>
            <c:showLeaderLines val="1"/>
          </c:dLbls>
          <c:cat>
            <c:strRef>
              <c:f>(Лист1!$U$91,Лист1!$U$93)</c:f>
              <c:strCache>
                <c:ptCount val="2"/>
                <c:pt idx="0">
                  <c:v>50 % нарушение правил организации маневровой работы</c:v>
                </c:pt>
                <c:pt idx="1">
                  <c:v>50 % неудовлетворительное текущее содержания пути</c:v>
                </c:pt>
              </c:strCache>
            </c:strRef>
          </c:cat>
          <c:val>
            <c:numRef>
              <c:f>Лист1!$C$106:$C$107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firstSliceAng val="0"/>
      </c:pieChart>
    </c:plotArea>
    <c:legend>
      <c:legendPos val="r"/>
      <c:layout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</c:chart>
  <c:spPr>
    <a:ln w="12700">
      <a:solidFill>
        <a:schemeClr val="tx1"/>
      </a:solidFill>
    </a:ln>
  </c:spPr>
  <c:txPr>
    <a:bodyPr/>
    <a:lstStyle/>
    <a:p>
      <a:pPr>
        <a:defRPr sz="1200" baseline="0">
          <a:latin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1" i="0" baseline="0"/>
              <a:t>Причины сходов железнодорожного подвижного состава, допущенных на путях общего пользования Восточно-Сибирской железной дороги за февраль 2024 года</a:t>
            </a:r>
            <a:endParaRPr lang="ru-RU" sz="1400"/>
          </a:p>
        </c:rich>
      </c:tx>
      <c:layout/>
    </c:title>
    <c:plotArea>
      <c:layout>
        <c:manualLayout>
          <c:layoutTarget val="inner"/>
          <c:xMode val="edge"/>
          <c:yMode val="edge"/>
          <c:x val="0.13161355708459238"/>
          <c:y val="0.32369267401844354"/>
          <c:w val="0.36962549705559139"/>
          <c:h val="0.56200387039419231"/>
        </c:manualLayout>
      </c:layout>
      <c:pieChart>
        <c:varyColors val="1"/>
        <c:ser>
          <c:idx val="1"/>
          <c:order val="0"/>
          <c:dPt>
            <c:idx val="0"/>
            <c:explosion val="11"/>
          </c:dPt>
          <c:dLbls>
            <c:dLbl>
              <c:idx val="0"/>
              <c:layout>
                <c:manualLayout>
                  <c:x val="-1.7010555802529848E-2"/>
                  <c:y val="-3.6606704654249596E-2"/>
                </c:manualLayout>
              </c:layout>
              <c:showVal val="1"/>
            </c:dLbl>
            <c:dLbl>
              <c:idx val="1"/>
              <c:layout>
                <c:manualLayout>
                  <c:x val="1.2944551875365142E-2"/>
                  <c:y val="-5.8264547472530549E-2"/>
                </c:manualLayout>
              </c:layout>
              <c:showVal val="1"/>
            </c:dLbl>
            <c:showVal val="1"/>
            <c:showLeaderLines val="1"/>
          </c:dLbls>
          <c:cat>
            <c:strRef>
              <c:f>(Лист1!$S$157,Лист1!$S$161)</c:f>
              <c:strCache>
                <c:ptCount val="2"/>
                <c:pt idx="0">
                  <c:v>67 % нарушение правил организации маневровой работы</c:v>
                </c:pt>
                <c:pt idx="1">
                  <c:v>33 % нарушение технологии ремонта подвижного состава</c:v>
                </c:pt>
              </c:strCache>
            </c:strRef>
          </c:cat>
          <c:val>
            <c:numRef>
              <c:f>Лист1!$C$114:$C$115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firstSliceAng val="199"/>
      </c:pieChart>
    </c:plotArea>
    <c:legend>
      <c:legendPos val="r"/>
      <c:layout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</c:chart>
  <c:txPr>
    <a:bodyPr/>
    <a:lstStyle/>
    <a:p>
      <a:pPr>
        <a:defRPr sz="1200" baseline="0">
          <a:latin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244</Words>
  <Characters>1391</Characters>
  <Application>Microsoft Office Word</Application>
  <DocSecurity>0</DocSecurity>
  <Lines>11</Lines>
  <Paragraphs>3</Paragraphs>
  <ScaleCrop>false</ScaleCrop>
  <Company>ФГКУ Росгранстрой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Harsekina_OV</dc:creator>
  <cp:lastModifiedBy>Harsekina_OV</cp:lastModifiedBy>
  <cp:revision>1</cp:revision>
  <dcterms:created xsi:type="dcterms:W3CDTF">2024-03-19T09:23:00Z</dcterms:created>
  <dcterms:modified xsi:type="dcterms:W3CDTF">2024-03-19T09:28:00Z</dcterms:modified>
</cp:coreProperties>
</file>